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FA0" w:rsidRPr="00A262D2" w:rsidRDefault="00131FA0" w:rsidP="007D1D68">
      <w:pPr>
        <w:pStyle w:val="NoSpacing"/>
        <w:jc w:val="center"/>
        <w:rPr>
          <w:b/>
          <w:sz w:val="28"/>
          <w:szCs w:val="28"/>
        </w:rPr>
      </w:pPr>
      <w:bookmarkStart w:id="0" w:name="_GoBack"/>
      <w:bookmarkEnd w:id="0"/>
      <w:r w:rsidRPr="00A262D2">
        <w:rPr>
          <w:b/>
          <w:sz w:val="28"/>
          <w:szCs w:val="28"/>
        </w:rPr>
        <w:t>Heart of Texas Homeless Coalition</w:t>
      </w:r>
      <w:r w:rsidR="00A262D2" w:rsidRPr="00A262D2">
        <w:rPr>
          <w:b/>
          <w:sz w:val="28"/>
          <w:szCs w:val="28"/>
        </w:rPr>
        <w:t xml:space="preserve"> </w:t>
      </w:r>
      <w:r w:rsidRPr="00A262D2">
        <w:rPr>
          <w:b/>
          <w:sz w:val="28"/>
          <w:szCs w:val="28"/>
        </w:rPr>
        <w:t>2017 Renewal CoC Project Evaluation</w:t>
      </w:r>
    </w:p>
    <w:p w:rsidR="00131FA0" w:rsidRPr="00A262D2" w:rsidRDefault="00131FA0" w:rsidP="00131FA0">
      <w:pPr>
        <w:pStyle w:val="NoSpacing"/>
      </w:pPr>
    </w:p>
    <w:p w:rsidR="00131FA0" w:rsidRDefault="00131FA0" w:rsidP="00663548">
      <w:pPr>
        <w:pStyle w:val="NoSpacing"/>
      </w:pPr>
      <w:r w:rsidRPr="00A262D2">
        <w:t xml:space="preserve">This tool will be used to review, score, and rank all renewal CoC projects as part of the 2017 CoC Competition. The </w:t>
      </w:r>
      <w:r w:rsidR="0022566A" w:rsidRPr="00A262D2">
        <w:t>priorities</w:t>
      </w:r>
      <w:r w:rsidRPr="00A262D2">
        <w:t xml:space="preserve"> that will be reviewed are those listed by HUD in </w:t>
      </w:r>
      <w:r w:rsidR="00A262D2">
        <w:t>the FY 2017</w:t>
      </w:r>
      <w:r w:rsidRPr="00A262D2">
        <w:t xml:space="preserve"> NOFA,</w:t>
      </w:r>
      <w:r w:rsidR="00A262D2">
        <w:t xml:space="preserve"> and include:</w:t>
      </w:r>
    </w:p>
    <w:p w:rsidR="00663548" w:rsidRDefault="00663548" w:rsidP="00663548">
      <w:pPr>
        <w:pStyle w:val="NoSpacing"/>
      </w:pPr>
    </w:p>
    <w:tbl>
      <w:tblPr>
        <w:tblW w:w="0" w:type="auto"/>
        <w:tblLayout w:type="fixed"/>
        <w:tblLook w:val="0000" w:firstRow="0" w:lastRow="0" w:firstColumn="0" w:lastColumn="0" w:noHBand="0" w:noVBand="0"/>
      </w:tblPr>
      <w:tblGrid>
        <w:gridCol w:w="10908"/>
      </w:tblGrid>
      <w:tr w:rsidR="00A262D2" w:rsidRPr="0025676B" w:rsidTr="00663548">
        <w:trPr>
          <w:trHeight w:val="1284"/>
        </w:trPr>
        <w:tc>
          <w:tcPr>
            <w:tcW w:w="10908" w:type="dxa"/>
          </w:tcPr>
          <w:p w:rsidR="00A262D2" w:rsidRDefault="00131FA0" w:rsidP="00663548">
            <w:pPr>
              <w:pStyle w:val="NoSpacing"/>
              <w:numPr>
                <w:ilvl w:val="0"/>
                <w:numId w:val="11"/>
              </w:numPr>
            </w:pPr>
            <w:r w:rsidRPr="0025676B">
              <w:t>Ending homelessness for all persons.</w:t>
            </w:r>
            <w:r w:rsidR="00A262D2" w:rsidRPr="0025676B">
              <w:t xml:space="preserve"> </w:t>
            </w:r>
          </w:p>
          <w:p w:rsidR="00663548" w:rsidRDefault="00663548" w:rsidP="00663548">
            <w:pPr>
              <w:pStyle w:val="NoSpacing"/>
              <w:numPr>
                <w:ilvl w:val="0"/>
                <w:numId w:val="11"/>
              </w:numPr>
            </w:pPr>
            <w:r w:rsidRPr="0025676B">
              <w:t>Creating a systemic response to homelessness.</w:t>
            </w:r>
          </w:p>
          <w:p w:rsidR="00663548" w:rsidRDefault="00663548" w:rsidP="00663548">
            <w:pPr>
              <w:pStyle w:val="NoSpacing"/>
              <w:numPr>
                <w:ilvl w:val="0"/>
                <w:numId w:val="11"/>
              </w:numPr>
            </w:pPr>
            <w:r w:rsidRPr="0025676B">
              <w:t>Strategically allocating and using resources.</w:t>
            </w:r>
          </w:p>
          <w:p w:rsidR="00663548" w:rsidRPr="0025676B" w:rsidRDefault="00663548" w:rsidP="00663548">
            <w:pPr>
              <w:pStyle w:val="NoSpacing"/>
              <w:numPr>
                <w:ilvl w:val="0"/>
                <w:numId w:val="11"/>
              </w:numPr>
            </w:pPr>
            <w:r w:rsidRPr="0025676B">
              <w:t xml:space="preserve">Using a Housing First approach. </w:t>
            </w:r>
          </w:p>
        </w:tc>
      </w:tr>
    </w:tbl>
    <w:p w:rsidR="00663548" w:rsidRDefault="00663548" w:rsidP="00663548">
      <w:pPr>
        <w:pStyle w:val="NoSpacing"/>
        <w:rPr>
          <w:b/>
        </w:rPr>
      </w:pPr>
      <w:r w:rsidRPr="00065881">
        <w:rPr>
          <w:b/>
        </w:rPr>
        <w:t>Renewal Project Evaluation</w:t>
      </w:r>
    </w:p>
    <w:p w:rsidR="00663548" w:rsidRDefault="00663548" w:rsidP="00663548">
      <w:pPr>
        <w:pStyle w:val="NoSpacing"/>
      </w:pPr>
    </w:p>
    <w:p w:rsidR="00663548" w:rsidRDefault="00663548" w:rsidP="00663548">
      <w:pPr>
        <w:pStyle w:val="NoSpacing"/>
      </w:pPr>
      <w:r>
        <w:t>The CoC Scoring and Ranking Committee and the CoC/HMIS Leads will complete a Renewal Project Evaluation Tool for each renewing CoC project. Projects failing to submit required information for a priority area will receive zero points for that priority area. After completing all Renewal Project Evaluation Tools, the CoC Scoring and Ranking Committee will rank all renewal projects according to their evaluation score – projects scoring highest are ranked best, those scoring lowest are ranked at the bottom.</w:t>
      </w:r>
    </w:p>
    <w:p w:rsidR="00663548" w:rsidRDefault="00663548" w:rsidP="00663548">
      <w:pPr>
        <w:pStyle w:val="NoSpacing"/>
      </w:pPr>
    </w:p>
    <w:p w:rsidR="00FA0BB5" w:rsidRDefault="00FA0BB5" w:rsidP="00663548">
      <w:pPr>
        <w:pStyle w:val="NoSpacing"/>
        <w:rPr>
          <w:b/>
        </w:rPr>
      </w:pPr>
      <w:r w:rsidRPr="00663548">
        <w:rPr>
          <w:b/>
        </w:rPr>
        <w:t>Data Sources</w:t>
      </w:r>
    </w:p>
    <w:p w:rsidR="00663548" w:rsidRPr="00663548" w:rsidRDefault="00663548" w:rsidP="00663548">
      <w:pPr>
        <w:pStyle w:val="NoSpacing"/>
        <w:rPr>
          <w:b/>
        </w:rPr>
      </w:pPr>
    </w:p>
    <w:p w:rsidR="00FA0BB5" w:rsidRDefault="00FA0BB5" w:rsidP="00663548">
      <w:pPr>
        <w:pStyle w:val="NoSpacing"/>
      </w:pPr>
      <w:r>
        <w:t>While some data will be collected from narratives such as the project description, the majority of the data used in project evaluation comes from projects’ designated Annual Performance Reports (APRs) for this competition. The Scoring and Ranking Committee will also consider Point-In-Time (PIT) Count data and Housing Inventory Count (HIC) data submission. Some information is obtained directly from providers or from SAGE HIMIS. Data from these sources is verified by HUD whenever possible:</w:t>
      </w:r>
    </w:p>
    <w:p w:rsidR="00FA0BB5" w:rsidRDefault="00FA0BB5" w:rsidP="00663548">
      <w:pPr>
        <w:pStyle w:val="NoSpacing"/>
      </w:pPr>
      <w:r>
        <w:t>HUD audit/monitoring findings documentation;</w:t>
      </w:r>
    </w:p>
    <w:p w:rsidR="00FA0BB5" w:rsidRDefault="00FA0BB5" w:rsidP="00663548">
      <w:pPr>
        <w:pStyle w:val="NoSpacing"/>
      </w:pPr>
      <w:r>
        <w:t>Information on timely draws and unspent funds from each applicant’s Line of Credit Control System (LOCCS) accounts</w:t>
      </w:r>
    </w:p>
    <w:p w:rsidR="00FA0BB5" w:rsidRDefault="00FA0BB5" w:rsidP="00663548">
      <w:pPr>
        <w:pStyle w:val="NoSpacing"/>
      </w:pPr>
      <w:r>
        <w:t>Information on project matching funds; and</w:t>
      </w:r>
    </w:p>
    <w:p w:rsidR="00FA0BB5" w:rsidRDefault="00FA0BB5" w:rsidP="00663548">
      <w:pPr>
        <w:pStyle w:val="NoSpacing"/>
      </w:pPr>
      <w:r>
        <w:t>Information collected by HUD field offices as shown through SAGE HMIS, including total LOCCS draw amounts.</w:t>
      </w:r>
    </w:p>
    <w:p w:rsidR="00EE5A1C" w:rsidRDefault="00EE5A1C" w:rsidP="00663548">
      <w:pPr>
        <w:pStyle w:val="NoSpacing"/>
      </w:pPr>
    </w:p>
    <w:p w:rsidR="00EE5A1C" w:rsidRPr="00065881" w:rsidRDefault="00EE5A1C" w:rsidP="00663548">
      <w:pPr>
        <w:pStyle w:val="NoSpacing"/>
        <w:rPr>
          <w:b/>
        </w:rPr>
      </w:pPr>
      <w:r w:rsidRPr="00065881">
        <w:rPr>
          <w:b/>
        </w:rPr>
        <w:t>Renewal Project Ranking and Funding Recommendations</w:t>
      </w:r>
    </w:p>
    <w:p w:rsidR="00EE5A1C" w:rsidRDefault="00EE5A1C" w:rsidP="00663548">
      <w:pPr>
        <w:pStyle w:val="NoSpacing"/>
      </w:pPr>
    </w:p>
    <w:p w:rsidR="00EE5A1C" w:rsidRDefault="00EE5A1C" w:rsidP="00663548">
      <w:pPr>
        <w:pStyle w:val="NoSpacing"/>
      </w:pPr>
      <w:r>
        <w:t xml:space="preserve">The CoC Lead Agency for the Heart of Texas Homeless Coalition accepts all qualifying applications. Qualifying projects are then submitted to the CoC Scoring and Ranking Committee for </w:t>
      </w:r>
      <w:r w:rsidR="009B73C6">
        <w:t>ranking recommendations and final approval for the CoC Competition Priority Listing.</w:t>
      </w:r>
    </w:p>
    <w:p w:rsidR="009B73C6" w:rsidRDefault="009B73C6" w:rsidP="00663548">
      <w:pPr>
        <w:pStyle w:val="NoSpacing"/>
      </w:pPr>
    </w:p>
    <w:p w:rsidR="009B73C6" w:rsidRPr="00065881" w:rsidRDefault="009B73C6" w:rsidP="00663548">
      <w:pPr>
        <w:pStyle w:val="NoSpacing"/>
        <w:rPr>
          <w:b/>
        </w:rPr>
      </w:pPr>
      <w:r w:rsidRPr="00065881">
        <w:rPr>
          <w:b/>
        </w:rPr>
        <w:t>Reallocation Process and Procedure</w:t>
      </w:r>
    </w:p>
    <w:p w:rsidR="009B73C6" w:rsidRDefault="009B73C6" w:rsidP="00663548">
      <w:pPr>
        <w:pStyle w:val="NoSpacing"/>
      </w:pPr>
    </w:p>
    <w:p w:rsidR="009B73C6" w:rsidRDefault="00D11839" w:rsidP="00663548">
      <w:pPr>
        <w:pStyle w:val="NoSpacing"/>
      </w:pPr>
      <w:r>
        <w:t xml:space="preserve">The </w:t>
      </w:r>
      <w:r w:rsidR="009B73C6">
        <w:t xml:space="preserve">CoC Board understands and acknowledges that through the reallocation process very valuable projects may be defunded. </w:t>
      </w:r>
      <w:r>
        <w:t xml:space="preserve">The </w:t>
      </w:r>
      <w:r w:rsidR="009B73C6">
        <w:t>CoC Board is striving to develop a reallocation process that will ensure that projects submitted in the CoC Consolidated Application best align with the HUD CoC funding mechanism’s priorities and contribute to a competitive application that collaboratively secures these dollars to improve our community</w:t>
      </w:r>
      <w:r w:rsidR="00387514">
        <w:t>. CoC Board seeks to make data-driven decisions based on information gathered</w:t>
      </w:r>
      <w:r w:rsidR="00F9493B">
        <w:t xml:space="preserve"> from the assessment tool and other HUD recommended data tools.</w:t>
      </w:r>
      <w:r>
        <w:t xml:space="preserve"> This does not mean that the CoC</w:t>
      </w:r>
      <w:r w:rsidR="00F9493B">
        <w:t xml:space="preserve"> Board does not value reallocated projects or the diversity of programs in our community. Rather, the CoC Board anticipates that most reallocated projects will see funders with priorities better suited to cultivate the unique contributions these projects make to our community that HUD’s CoC funding mechanism is not designed to recognize.</w:t>
      </w:r>
    </w:p>
    <w:p w:rsidR="007D1D68" w:rsidRDefault="007D1D68" w:rsidP="0022566A">
      <w:pPr>
        <w:pStyle w:val="NoSpacing"/>
        <w:rPr>
          <w:sz w:val="24"/>
          <w:szCs w:val="24"/>
        </w:rPr>
      </w:pPr>
    </w:p>
    <w:p w:rsidR="0022566A" w:rsidRDefault="0022566A" w:rsidP="0022566A">
      <w:pPr>
        <w:pStyle w:val="NoSpacing"/>
        <w:rPr>
          <w:sz w:val="24"/>
          <w:szCs w:val="24"/>
        </w:rPr>
      </w:pPr>
    </w:p>
    <w:p w:rsidR="007D1D68" w:rsidRDefault="007D1D68" w:rsidP="0022566A">
      <w:pPr>
        <w:pStyle w:val="NoSpacing"/>
        <w:rPr>
          <w:sz w:val="24"/>
          <w:szCs w:val="24"/>
        </w:rPr>
      </w:pPr>
    </w:p>
    <w:p w:rsidR="007D1D68" w:rsidRDefault="007D1D68" w:rsidP="0022566A">
      <w:pPr>
        <w:pStyle w:val="NoSpacing"/>
        <w:rPr>
          <w:sz w:val="24"/>
          <w:szCs w:val="24"/>
        </w:rPr>
      </w:pPr>
    </w:p>
    <w:p w:rsidR="007D1D68" w:rsidRDefault="007D1D68" w:rsidP="0022566A">
      <w:pPr>
        <w:pStyle w:val="NoSpacing"/>
        <w:rPr>
          <w:sz w:val="24"/>
          <w:szCs w:val="24"/>
        </w:rPr>
      </w:pPr>
    </w:p>
    <w:p w:rsidR="007D1D68" w:rsidRDefault="007D1D68" w:rsidP="0022566A">
      <w:pPr>
        <w:pStyle w:val="NoSpacing"/>
        <w:rPr>
          <w:sz w:val="24"/>
          <w:szCs w:val="24"/>
        </w:rPr>
      </w:pPr>
    </w:p>
    <w:p w:rsidR="007D1D68" w:rsidRPr="0025676B" w:rsidRDefault="0025676B" w:rsidP="00584111">
      <w:pPr>
        <w:pStyle w:val="NoSpacing"/>
        <w:jc w:val="center"/>
        <w:rPr>
          <w:b/>
          <w:sz w:val="28"/>
          <w:szCs w:val="28"/>
        </w:rPr>
      </w:pPr>
      <w:r>
        <w:rPr>
          <w:b/>
          <w:sz w:val="28"/>
          <w:szCs w:val="28"/>
        </w:rPr>
        <w:lastRenderedPageBreak/>
        <w:t xml:space="preserve">HUD </w:t>
      </w:r>
      <w:r w:rsidR="007D1D68" w:rsidRPr="0025676B">
        <w:rPr>
          <w:b/>
          <w:sz w:val="28"/>
          <w:szCs w:val="28"/>
        </w:rPr>
        <w:t xml:space="preserve">Priority </w:t>
      </w:r>
      <w:r w:rsidRPr="0025676B">
        <w:rPr>
          <w:b/>
          <w:sz w:val="28"/>
          <w:szCs w:val="28"/>
        </w:rPr>
        <w:t>List</w:t>
      </w:r>
    </w:p>
    <w:p w:rsidR="00AA18D9" w:rsidRPr="00663548" w:rsidRDefault="00AA18D9" w:rsidP="00AA18D9">
      <w:pPr>
        <w:autoSpaceDE w:val="0"/>
        <w:autoSpaceDN w:val="0"/>
        <w:adjustRightInd w:val="0"/>
        <w:spacing w:after="0" w:line="240" w:lineRule="auto"/>
        <w:rPr>
          <w:rFonts w:cs="Times New Roman"/>
          <w:color w:val="000000"/>
        </w:rPr>
      </w:pPr>
    </w:p>
    <w:p w:rsidR="00AA18D9" w:rsidRPr="00B8115C" w:rsidRDefault="00AA18D9" w:rsidP="00B8115C">
      <w:pPr>
        <w:pStyle w:val="NoSpacing"/>
        <w:jc w:val="center"/>
        <w:rPr>
          <w:sz w:val="24"/>
          <w:szCs w:val="24"/>
        </w:rPr>
      </w:pPr>
      <w:r w:rsidRPr="00B8115C">
        <w:rPr>
          <w:sz w:val="24"/>
          <w:szCs w:val="24"/>
        </w:rPr>
        <w:t>If the box is filled in, the organization is given credit for this priority. If blank, no credit is given.</w:t>
      </w:r>
    </w:p>
    <w:p w:rsidR="00AA18D9" w:rsidRPr="00B8115C" w:rsidRDefault="00AA18D9" w:rsidP="00B8115C">
      <w:pPr>
        <w:pStyle w:val="NoSpacing"/>
        <w:rPr>
          <w:b/>
          <w:sz w:val="24"/>
          <w:szCs w:val="24"/>
        </w:rPr>
      </w:pPr>
    </w:p>
    <w:tbl>
      <w:tblPr>
        <w:tblStyle w:val="TableGrid"/>
        <w:tblW w:w="10808" w:type="dxa"/>
        <w:tblLook w:val="04A0" w:firstRow="1" w:lastRow="0" w:firstColumn="1" w:lastColumn="0" w:noHBand="0" w:noVBand="1"/>
      </w:tblPr>
      <w:tblGrid>
        <w:gridCol w:w="457"/>
        <w:gridCol w:w="10351"/>
      </w:tblGrid>
      <w:tr w:rsidR="00BA0C95" w:rsidRPr="00B8115C" w:rsidTr="00BA0C95">
        <w:sdt>
          <w:sdtPr>
            <w:rPr>
              <w:b/>
              <w:sz w:val="24"/>
              <w:szCs w:val="24"/>
            </w:rPr>
            <w:id w:val="-1524468273"/>
            <w14:checkbox>
              <w14:checked w14:val="0"/>
              <w14:checkedState w14:val="2612" w14:font="MS Gothic"/>
              <w14:uncheckedState w14:val="2610" w14:font="MS Gothic"/>
            </w14:checkbox>
          </w:sdtPr>
          <w:sdtEndPr/>
          <w:sdtContent>
            <w:tc>
              <w:tcPr>
                <w:tcW w:w="0" w:type="auto"/>
                <w:shd w:val="clear" w:color="auto" w:fill="FDE9D9" w:themeFill="accent6" w:themeFillTint="33"/>
              </w:tcPr>
              <w:p w:rsidR="00BA0C95" w:rsidRPr="00B8115C" w:rsidRDefault="00BA0C95" w:rsidP="00B8115C">
                <w:pPr>
                  <w:pStyle w:val="NoSpacing"/>
                  <w:rPr>
                    <w:b/>
                    <w:sz w:val="24"/>
                    <w:szCs w:val="24"/>
                  </w:rPr>
                </w:pPr>
                <w:r w:rsidRPr="00B8115C">
                  <w:rPr>
                    <w:rFonts w:ascii="MS Gothic" w:eastAsia="MS Gothic" w:hAnsi="MS Gothic" w:cs="MS Gothic" w:hint="eastAsia"/>
                    <w:b/>
                    <w:sz w:val="24"/>
                    <w:szCs w:val="24"/>
                  </w:rPr>
                  <w:t>☐</w:t>
                </w:r>
              </w:p>
            </w:tc>
          </w:sdtContent>
        </w:sdt>
        <w:tc>
          <w:tcPr>
            <w:tcW w:w="0" w:type="auto"/>
            <w:shd w:val="clear" w:color="auto" w:fill="FDE9D9" w:themeFill="accent6" w:themeFillTint="33"/>
          </w:tcPr>
          <w:p w:rsidR="00BA0C95" w:rsidRPr="00B8115C" w:rsidRDefault="00BA0C95" w:rsidP="00B8115C">
            <w:pPr>
              <w:pStyle w:val="NoSpacing"/>
              <w:rPr>
                <w:b/>
                <w:sz w:val="24"/>
                <w:szCs w:val="24"/>
              </w:rPr>
            </w:pPr>
            <w:r w:rsidRPr="00B8115C">
              <w:rPr>
                <w:b/>
                <w:sz w:val="24"/>
                <w:szCs w:val="24"/>
              </w:rPr>
              <w:t>Ending homelessness for all persons</w:t>
            </w:r>
            <w:r w:rsidRPr="00B8115C">
              <w:rPr>
                <w:sz w:val="24"/>
                <w:szCs w:val="24"/>
              </w:rPr>
              <w:t>.</w:t>
            </w:r>
          </w:p>
        </w:tc>
      </w:tr>
      <w:tr w:rsidR="00BA0C95" w:rsidRPr="00B8115C" w:rsidTr="00BA0C95">
        <w:tc>
          <w:tcPr>
            <w:tcW w:w="0" w:type="auto"/>
            <w:shd w:val="clear" w:color="auto" w:fill="FFFFFF" w:themeFill="background1"/>
          </w:tcPr>
          <w:p w:rsidR="00BA0C95" w:rsidRPr="00B8115C" w:rsidRDefault="00BA0C95" w:rsidP="00B8115C">
            <w:pPr>
              <w:pStyle w:val="NoSpacing"/>
              <w:rPr>
                <w:b/>
                <w:sz w:val="24"/>
                <w:szCs w:val="24"/>
              </w:rPr>
            </w:pPr>
          </w:p>
        </w:tc>
        <w:tc>
          <w:tcPr>
            <w:tcW w:w="0" w:type="auto"/>
            <w:shd w:val="clear" w:color="auto" w:fill="FFFFFF" w:themeFill="background1"/>
          </w:tcPr>
          <w:p w:rsidR="00BA0C95" w:rsidRPr="00B8115C" w:rsidRDefault="00BA0C95" w:rsidP="00B8115C">
            <w:pPr>
              <w:pStyle w:val="NoSpacing"/>
              <w:rPr>
                <w:sz w:val="24"/>
                <w:szCs w:val="24"/>
              </w:rPr>
            </w:pPr>
          </w:p>
          <w:tbl>
            <w:tblPr>
              <w:tblW w:w="0" w:type="auto"/>
              <w:tblBorders>
                <w:top w:val="nil"/>
                <w:left w:val="nil"/>
                <w:bottom w:val="nil"/>
                <w:right w:val="nil"/>
              </w:tblBorders>
              <w:tblLook w:val="0000" w:firstRow="0" w:lastRow="0" w:firstColumn="0" w:lastColumn="0" w:noHBand="0" w:noVBand="0"/>
            </w:tblPr>
            <w:tblGrid>
              <w:gridCol w:w="10135"/>
            </w:tblGrid>
            <w:tr w:rsidR="00BA0C95" w:rsidRPr="00B8115C">
              <w:trPr>
                <w:trHeight w:val="1541"/>
              </w:trPr>
              <w:tc>
                <w:tcPr>
                  <w:tcW w:w="0" w:type="auto"/>
                </w:tcPr>
                <w:p w:rsidR="00BA0C95" w:rsidRPr="00B8115C" w:rsidRDefault="00BA0C95" w:rsidP="00B8115C">
                  <w:pPr>
                    <w:pStyle w:val="NoSpacing"/>
                    <w:rPr>
                      <w:sz w:val="24"/>
                      <w:szCs w:val="24"/>
                    </w:rPr>
                  </w:pPr>
                  <w:r w:rsidRPr="00B8115C">
                    <w:rPr>
                      <w:sz w:val="24"/>
                      <w:szCs w:val="24"/>
                    </w:rPr>
                    <w:t xml:space="preserve">To end homelessness, CoCs should identify, engage, and effectively serve all persons experiencing homelessness. CoCs should measure their performance based on local data that take into account the challenges faced by all subpopulations experiencing homelessness in the geographic area (e.g., veterans, youth, families, or those experiencing chronic homelessness). CoCs should have a comprehensive outreach strategy in place to identify and continuously engage all unsheltered individuals and families. Additionally, CoCs should use local data to determine the characteristics of individuals and families with the highest needs and longest experiences of homelessness to develop housing and supportive services tailored to their needs. Finally, CoCs should use the reallocation process to create new projects that improve their overall performance and better respond to their needs. </w:t>
                  </w:r>
                </w:p>
                <w:p w:rsidR="00BA0C95" w:rsidRPr="00B8115C" w:rsidRDefault="00BA0C95" w:rsidP="00B8115C">
                  <w:pPr>
                    <w:pStyle w:val="NoSpacing"/>
                    <w:rPr>
                      <w:sz w:val="24"/>
                      <w:szCs w:val="24"/>
                    </w:rPr>
                  </w:pPr>
                </w:p>
              </w:tc>
            </w:tr>
          </w:tbl>
          <w:p w:rsidR="00BA0C95" w:rsidRPr="00B8115C" w:rsidRDefault="00BA0C95" w:rsidP="00B8115C">
            <w:pPr>
              <w:pStyle w:val="NoSpacing"/>
              <w:rPr>
                <w:b/>
                <w:sz w:val="24"/>
                <w:szCs w:val="24"/>
              </w:rPr>
            </w:pPr>
          </w:p>
        </w:tc>
      </w:tr>
      <w:tr w:rsidR="00BA0C95" w:rsidRPr="00B8115C" w:rsidTr="00BA0C95">
        <w:sdt>
          <w:sdtPr>
            <w:rPr>
              <w:b/>
              <w:sz w:val="24"/>
              <w:szCs w:val="24"/>
            </w:rPr>
            <w:id w:val="-1578744510"/>
            <w14:checkbox>
              <w14:checked w14:val="0"/>
              <w14:checkedState w14:val="2612" w14:font="MS Gothic"/>
              <w14:uncheckedState w14:val="2610" w14:font="MS Gothic"/>
            </w14:checkbox>
          </w:sdtPr>
          <w:sdtEndPr/>
          <w:sdtContent>
            <w:tc>
              <w:tcPr>
                <w:tcW w:w="0" w:type="auto"/>
                <w:shd w:val="clear" w:color="auto" w:fill="FDE9D9" w:themeFill="accent6" w:themeFillTint="33"/>
              </w:tcPr>
              <w:p w:rsidR="00BA0C95" w:rsidRPr="00B8115C" w:rsidRDefault="00BA0C95" w:rsidP="00B8115C">
                <w:pPr>
                  <w:pStyle w:val="NoSpacing"/>
                  <w:rPr>
                    <w:b/>
                    <w:sz w:val="24"/>
                    <w:szCs w:val="24"/>
                  </w:rPr>
                </w:pPr>
                <w:r w:rsidRPr="00B8115C">
                  <w:rPr>
                    <w:rFonts w:ascii="MS Gothic" w:eastAsia="MS Gothic" w:hAnsi="MS Gothic" w:cs="MS Gothic" w:hint="eastAsia"/>
                    <w:b/>
                    <w:sz w:val="24"/>
                    <w:szCs w:val="24"/>
                  </w:rPr>
                  <w:t>☐</w:t>
                </w:r>
              </w:p>
            </w:tc>
          </w:sdtContent>
        </w:sdt>
        <w:tc>
          <w:tcPr>
            <w:tcW w:w="0" w:type="auto"/>
            <w:shd w:val="clear" w:color="auto" w:fill="FDE9D9" w:themeFill="accent6" w:themeFillTint="33"/>
          </w:tcPr>
          <w:p w:rsidR="00BA0C95" w:rsidRPr="00B8115C" w:rsidRDefault="00BA0C95" w:rsidP="00B8115C">
            <w:pPr>
              <w:pStyle w:val="NoSpacing"/>
              <w:rPr>
                <w:sz w:val="24"/>
                <w:szCs w:val="24"/>
              </w:rPr>
            </w:pPr>
            <w:r w:rsidRPr="00B8115C">
              <w:rPr>
                <w:b/>
                <w:sz w:val="24"/>
                <w:szCs w:val="24"/>
              </w:rPr>
              <w:t>Creating a systemic response to homelessness.</w:t>
            </w:r>
          </w:p>
        </w:tc>
      </w:tr>
      <w:tr w:rsidR="00BA0C95" w:rsidRPr="00B8115C" w:rsidTr="00BA0C95">
        <w:tc>
          <w:tcPr>
            <w:tcW w:w="0" w:type="auto"/>
            <w:shd w:val="clear" w:color="auto" w:fill="FFFFFF" w:themeFill="background1"/>
          </w:tcPr>
          <w:p w:rsidR="00BA0C95" w:rsidRPr="00B8115C" w:rsidRDefault="00BA0C95" w:rsidP="00B8115C">
            <w:pPr>
              <w:pStyle w:val="NoSpacing"/>
              <w:rPr>
                <w:b/>
                <w:sz w:val="24"/>
                <w:szCs w:val="24"/>
              </w:rPr>
            </w:pPr>
          </w:p>
        </w:tc>
        <w:tc>
          <w:tcPr>
            <w:tcW w:w="0" w:type="auto"/>
            <w:shd w:val="clear" w:color="auto" w:fill="FFFFFF" w:themeFill="background1"/>
          </w:tcPr>
          <w:p w:rsidR="00BA0C95" w:rsidRPr="00B8115C" w:rsidRDefault="00BA0C95" w:rsidP="00B8115C">
            <w:pPr>
              <w:pStyle w:val="NoSpacing"/>
              <w:rPr>
                <w:sz w:val="24"/>
                <w:szCs w:val="24"/>
              </w:rPr>
            </w:pPr>
          </w:p>
          <w:tbl>
            <w:tblPr>
              <w:tblW w:w="0" w:type="auto"/>
              <w:tblBorders>
                <w:top w:val="nil"/>
                <w:left w:val="nil"/>
                <w:bottom w:val="nil"/>
                <w:right w:val="nil"/>
              </w:tblBorders>
              <w:tblLook w:val="0000" w:firstRow="0" w:lastRow="0" w:firstColumn="0" w:lastColumn="0" w:noHBand="0" w:noVBand="0"/>
            </w:tblPr>
            <w:tblGrid>
              <w:gridCol w:w="10135"/>
            </w:tblGrid>
            <w:tr w:rsidR="00BA0C95" w:rsidRPr="00B8115C">
              <w:trPr>
                <w:trHeight w:val="1127"/>
              </w:trPr>
              <w:tc>
                <w:tcPr>
                  <w:tcW w:w="0" w:type="auto"/>
                </w:tcPr>
                <w:p w:rsidR="00BA0C95" w:rsidRPr="00B8115C" w:rsidRDefault="00BA0C95" w:rsidP="00B8115C">
                  <w:pPr>
                    <w:pStyle w:val="NoSpacing"/>
                    <w:rPr>
                      <w:sz w:val="24"/>
                      <w:szCs w:val="24"/>
                    </w:rPr>
                  </w:pPr>
                  <w:r w:rsidRPr="00B8115C">
                    <w:rPr>
                      <w:sz w:val="24"/>
                      <w:szCs w:val="24"/>
                    </w:rPr>
                    <w:t xml:space="preserve">CoCs should be using system performance measures such as the average length of homeless episodes, rates of return to homelessness, and rates of exit to permanent housing destinations to determine how effectively they are serving people experiencing homelessness. Additionally, CoCs should be using their Coordinated Entry process to promote participant choice, coordinate homeless assistance and mainstream housing and services to ensure people experiencing homelessness receive assistance quickly, and make homelessness assistance open, inclusive, and transparent. </w:t>
                  </w:r>
                </w:p>
                <w:p w:rsidR="00BA0C95" w:rsidRPr="00B8115C" w:rsidRDefault="00BA0C95" w:rsidP="00B8115C">
                  <w:pPr>
                    <w:pStyle w:val="NoSpacing"/>
                    <w:rPr>
                      <w:sz w:val="24"/>
                      <w:szCs w:val="24"/>
                    </w:rPr>
                  </w:pPr>
                </w:p>
              </w:tc>
            </w:tr>
          </w:tbl>
          <w:p w:rsidR="00BA0C95" w:rsidRPr="00B8115C" w:rsidRDefault="00BA0C95" w:rsidP="00B8115C">
            <w:pPr>
              <w:pStyle w:val="NoSpacing"/>
              <w:rPr>
                <w:b/>
                <w:sz w:val="24"/>
                <w:szCs w:val="24"/>
              </w:rPr>
            </w:pPr>
          </w:p>
        </w:tc>
      </w:tr>
      <w:tr w:rsidR="00BA0C95" w:rsidRPr="00B8115C" w:rsidTr="00BA0C95">
        <w:sdt>
          <w:sdtPr>
            <w:rPr>
              <w:b/>
              <w:sz w:val="24"/>
              <w:szCs w:val="24"/>
            </w:rPr>
            <w:id w:val="260577776"/>
            <w14:checkbox>
              <w14:checked w14:val="0"/>
              <w14:checkedState w14:val="2612" w14:font="MS Gothic"/>
              <w14:uncheckedState w14:val="2610" w14:font="MS Gothic"/>
            </w14:checkbox>
          </w:sdtPr>
          <w:sdtEndPr/>
          <w:sdtContent>
            <w:tc>
              <w:tcPr>
                <w:tcW w:w="0" w:type="auto"/>
                <w:shd w:val="clear" w:color="auto" w:fill="FDE9D9" w:themeFill="accent6" w:themeFillTint="33"/>
              </w:tcPr>
              <w:p w:rsidR="00BA0C95" w:rsidRPr="00B8115C" w:rsidRDefault="00BA0C95" w:rsidP="00B8115C">
                <w:pPr>
                  <w:pStyle w:val="NoSpacing"/>
                  <w:rPr>
                    <w:b/>
                    <w:sz w:val="24"/>
                    <w:szCs w:val="24"/>
                  </w:rPr>
                </w:pPr>
                <w:r w:rsidRPr="00B8115C">
                  <w:rPr>
                    <w:rFonts w:ascii="MS Gothic" w:eastAsia="MS Gothic" w:hAnsi="MS Gothic" w:cs="MS Gothic" w:hint="eastAsia"/>
                    <w:b/>
                    <w:sz w:val="24"/>
                    <w:szCs w:val="24"/>
                  </w:rPr>
                  <w:t>☐</w:t>
                </w:r>
              </w:p>
            </w:tc>
          </w:sdtContent>
        </w:sdt>
        <w:tc>
          <w:tcPr>
            <w:tcW w:w="0" w:type="auto"/>
            <w:shd w:val="clear" w:color="auto" w:fill="FDE9D9" w:themeFill="accent6" w:themeFillTint="33"/>
          </w:tcPr>
          <w:p w:rsidR="00BA0C95" w:rsidRPr="00B8115C" w:rsidRDefault="00BA0C95" w:rsidP="00B8115C">
            <w:pPr>
              <w:pStyle w:val="NoSpacing"/>
              <w:rPr>
                <w:sz w:val="24"/>
                <w:szCs w:val="24"/>
              </w:rPr>
            </w:pPr>
            <w:r w:rsidRPr="00B8115C">
              <w:rPr>
                <w:b/>
                <w:sz w:val="24"/>
                <w:szCs w:val="24"/>
              </w:rPr>
              <w:t>Strategically allocating and using resources.</w:t>
            </w:r>
          </w:p>
        </w:tc>
      </w:tr>
      <w:tr w:rsidR="00BA0C95" w:rsidRPr="00B8115C" w:rsidTr="00BA0C95">
        <w:tc>
          <w:tcPr>
            <w:tcW w:w="0" w:type="auto"/>
            <w:shd w:val="clear" w:color="auto" w:fill="FFFFFF" w:themeFill="background1"/>
          </w:tcPr>
          <w:p w:rsidR="00BA0C95" w:rsidRPr="00B8115C" w:rsidRDefault="00BA0C95" w:rsidP="00B8115C">
            <w:pPr>
              <w:pStyle w:val="NoSpacing"/>
              <w:rPr>
                <w:b/>
                <w:sz w:val="24"/>
                <w:szCs w:val="24"/>
              </w:rPr>
            </w:pPr>
          </w:p>
        </w:tc>
        <w:tc>
          <w:tcPr>
            <w:tcW w:w="0" w:type="auto"/>
            <w:shd w:val="clear" w:color="auto" w:fill="FFFFFF" w:themeFill="background1"/>
          </w:tcPr>
          <w:p w:rsidR="00BA0C95" w:rsidRPr="00B8115C" w:rsidRDefault="00BA0C95" w:rsidP="00B8115C">
            <w:pPr>
              <w:pStyle w:val="NoSpacing"/>
              <w:rPr>
                <w:sz w:val="24"/>
                <w:szCs w:val="24"/>
              </w:rPr>
            </w:pPr>
          </w:p>
          <w:tbl>
            <w:tblPr>
              <w:tblW w:w="0" w:type="auto"/>
              <w:tblBorders>
                <w:top w:val="nil"/>
                <w:left w:val="nil"/>
                <w:bottom w:val="nil"/>
                <w:right w:val="nil"/>
              </w:tblBorders>
              <w:tblLook w:val="0000" w:firstRow="0" w:lastRow="0" w:firstColumn="0" w:lastColumn="0" w:noHBand="0" w:noVBand="0"/>
            </w:tblPr>
            <w:tblGrid>
              <w:gridCol w:w="10135"/>
            </w:tblGrid>
            <w:tr w:rsidR="00BA0C95" w:rsidRPr="00B8115C">
              <w:trPr>
                <w:trHeight w:val="989"/>
              </w:trPr>
              <w:tc>
                <w:tcPr>
                  <w:tcW w:w="0" w:type="auto"/>
                </w:tcPr>
                <w:p w:rsidR="00BA0C95" w:rsidRPr="00B8115C" w:rsidRDefault="00BA0C95" w:rsidP="00B8115C">
                  <w:pPr>
                    <w:pStyle w:val="NoSpacing"/>
                    <w:rPr>
                      <w:sz w:val="24"/>
                      <w:szCs w:val="24"/>
                    </w:rPr>
                  </w:pPr>
                  <w:r w:rsidRPr="00B8115C">
                    <w:rPr>
                      <w:sz w:val="24"/>
                      <w:szCs w:val="24"/>
                    </w:rPr>
                    <w:t xml:space="preserve">Using cost, performance, and outcome data, CoCs should improve how resources are utilized to end homelessness. CoCs should review project quality, performance, and cost effectiveness. HUD also encourages CoCs to maximize the use of mainstream and other community-based resources when serving persons experiencing homelessness. Finally, CoCs should review all projects eligible for renewal in FY 2017 to determine their effectiveness in serving people experiencing homelessness as well as their cost effectiveness. </w:t>
                  </w:r>
                </w:p>
                <w:p w:rsidR="00BA0C95" w:rsidRPr="00B8115C" w:rsidRDefault="00BA0C95" w:rsidP="00B8115C">
                  <w:pPr>
                    <w:pStyle w:val="NoSpacing"/>
                    <w:rPr>
                      <w:sz w:val="24"/>
                      <w:szCs w:val="24"/>
                    </w:rPr>
                  </w:pPr>
                </w:p>
              </w:tc>
            </w:tr>
          </w:tbl>
          <w:p w:rsidR="00BA0C95" w:rsidRPr="00B8115C" w:rsidRDefault="00BA0C95" w:rsidP="00B8115C">
            <w:pPr>
              <w:pStyle w:val="NoSpacing"/>
              <w:rPr>
                <w:b/>
                <w:sz w:val="24"/>
                <w:szCs w:val="24"/>
              </w:rPr>
            </w:pPr>
          </w:p>
        </w:tc>
      </w:tr>
      <w:tr w:rsidR="00BA0C95" w:rsidRPr="00B8115C" w:rsidTr="00BA0C95">
        <w:sdt>
          <w:sdtPr>
            <w:rPr>
              <w:b/>
              <w:sz w:val="24"/>
              <w:szCs w:val="24"/>
            </w:rPr>
            <w:id w:val="-855341440"/>
            <w14:checkbox>
              <w14:checked w14:val="0"/>
              <w14:checkedState w14:val="2612" w14:font="MS Gothic"/>
              <w14:uncheckedState w14:val="2610" w14:font="MS Gothic"/>
            </w14:checkbox>
          </w:sdtPr>
          <w:sdtEndPr/>
          <w:sdtContent>
            <w:tc>
              <w:tcPr>
                <w:tcW w:w="0" w:type="auto"/>
                <w:shd w:val="clear" w:color="auto" w:fill="FDE9D9" w:themeFill="accent6" w:themeFillTint="33"/>
              </w:tcPr>
              <w:p w:rsidR="00BA0C95" w:rsidRPr="00B8115C" w:rsidRDefault="00BA0C95" w:rsidP="00B8115C">
                <w:pPr>
                  <w:pStyle w:val="NoSpacing"/>
                  <w:rPr>
                    <w:b/>
                    <w:sz w:val="24"/>
                    <w:szCs w:val="24"/>
                  </w:rPr>
                </w:pPr>
                <w:r w:rsidRPr="00B8115C">
                  <w:rPr>
                    <w:rFonts w:ascii="MS Gothic" w:eastAsia="MS Gothic" w:hAnsi="MS Gothic" w:cs="MS Gothic" w:hint="eastAsia"/>
                    <w:b/>
                    <w:sz w:val="24"/>
                    <w:szCs w:val="24"/>
                  </w:rPr>
                  <w:t>☐</w:t>
                </w:r>
              </w:p>
            </w:tc>
          </w:sdtContent>
        </w:sdt>
        <w:tc>
          <w:tcPr>
            <w:tcW w:w="0" w:type="auto"/>
            <w:shd w:val="clear" w:color="auto" w:fill="FDE9D9" w:themeFill="accent6" w:themeFillTint="33"/>
          </w:tcPr>
          <w:p w:rsidR="00BA0C95" w:rsidRPr="00B8115C" w:rsidRDefault="00BA0C95" w:rsidP="00B8115C">
            <w:pPr>
              <w:pStyle w:val="NoSpacing"/>
              <w:rPr>
                <w:sz w:val="24"/>
                <w:szCs w:val="24"/>
              </w:rPr>
            </w:pPr>
            <w:r w:rsidRPr="00B8115C">
              <w:rPr>
                <w:b/>
                <w:sz w:val="24"/>
                <w:szCs w:val="24"/>
              </w:rPr>
              <w:t xml:space="preserve">Use a Housing First approach. </w:t>
            </w:r>
          </w:p>
        </w:tc>
      </w:tr>
      <w:tr w:rsidR="00BA0C95" w:rsidRPr="00B8115C" w:rsidTr="00BA0C95">
        <w:tc>
          <w:tcPr>
            <w:tcW w:w="0" w:type="auto"/>
            <w:shd w:val="clear" w:color="auto" w:fill="FFFFFF" w:themeFill="background1"/>
          </w:tcPr>
          <w:p w:rsidR="00BA0C95" w:rsidRPr="00B8115C" w:rsidRDefault="00BA0C95" w:rsidP="00B8115C">
            <w:pPr>
              <w:pStyle w:val="NoSpacing"/>
              <w:rPr>
                <w:b/>
                <w:sz w:val="24"/>
                <w:szCs w:val="24"/>
              </w:rPr>
            </w:pPr>
          </w:p>
        </w:tc>
        <w:tc>
          <w:tcPr>
            <w:tcW w:w="0" w:type="auto"/>
            <w:shd w:val="clear" w:color="auto" w:fill="FFFFFF" w:themeFill="background1"/>
          </w:tcPr>
          <w:p w:rsidR="00BA0C95" w:rsidRPr="00B8115C" w:rsidRDefault="00BA0C95" w:rsidP="00B8115C">
            <w:pPr>
              <w:pStyle w:val="NoSpacing"/>
              <w:rPr>
                <w:sz w:val="24"/>
                <w:szCs w:val="24"/>
              </w:rPr>
            </w:pPr>
          </w:p>
          <w:tbl>
            <w:tblPr>
              <w:tblW w:w="0" w:type="auto"/>
              <w:tblBorders>
                <w:top w:val="nil"/>
                <w:left w:val="nil"/>
                <w:bottom w:val="nil"/>
                <w:right w:val="nil"/>
              </w:tblBorders>
              <w:tblLook w:val="0000" w:firstRow="0" w:lastRow="0" w:firstColumn="0" w:lastColumn="0" w:noHBand="0" w:noVBand="0"/>
            </w:tblPr>
            <w:tblGrid>
              <w:gridCol w:w="10135"/>
            </w:tblGrid>
            <w:tr w:rsidR="00BA0C95" w:rsidRPr="00B8115C">
              <w:trPr>
                <w:trHeight w:val="851"/>
              </w:trPr>
              <w:tc>
                <w:tcPr>
                  <w:tcW w:w="0" w:type="auto"/>
                </w:tcPr>
                <w:tbl>
                  <w:tblPr>
                    <w:tblW w:w="0" w:type="auto"/>
                    <w:tblBorders>
                      <w:top w:val="nil"/>
                      <w:left w:val="nil"/>
                      <w:bottom w:val="nil"/>
                      <w:right w:val="nil"/>
                    </w:tblBorders>
                    <w:tblLook w:val="0000" w:firstRow="0" w:lastRow="0" w:firstColumn="0" w:lastColumn="0" w:noHBand="0" w:noVBand="0"/>
                  </w:tblPr>
                  <w:tblGrid>
                    <w:gridCol w:w="9919"/>
                  </w:tblGrid>
                  <w:tr w:rsidR="00BA0C95" w:rsidRPr="00B8115C">
                    <w:trPr>
                      <w:trHeight w:val="299"/>
                    </w:trPr>
                    <w:tc>
                      <w:tcPr>
                        <w:tcW w:w="0" w:type="auto"/>
                      </w:tcPr>
                      <w:p w:rsidR="00BA0C95" w:rsidRPr="00B8115C" w:rsidRDefault="00BA0C95" w:rsidP="00B8115C">
                        <w:pPr>
                          <w:pStyle w:val="NoSpacing"/>
                          <w:rPr>
                            <w:sz w:val="24"/>
                            <w:szCs w:val="24"/>
                          </w:rPr>
                        </w:pPr>
                        <w:r w:rsidRPr="00B8115C">
                          <w:rPr>
                            <w:sz w:val="24"/>
                            <w:szCs w:val="24"/>
                          </w:rPr>
                          <w:t xml:space="preserve">Housing First prioritizes rapid placement and stabilization in permanent housing and does not have service participation requirements or preconditions. CoC Program funded projects should help individuals and families move quickly into permanent housing, and the CoC should measure and help projects reduce the length of time people experience homelessness. Additionally, CoCs should engage landlords and property owners, remove barriers to entry, and adopt client-centered service methods. </w:t>
                        </w:r>
                      </w:p>
                      <w:p w:rsidR="00BA0C95" w:rsidRPr="00B8115C" w:rsidRDefault="00BA0C95" w:rsidP="00B8115C">
                        <w:pPr>
                          <w:pStyle w:val="NoSpacing"/>
                          <w:rPr>
                            <w:sz w:val="24"/>
                            <w:szCs w:val="24"/>
                          </w:rPr>
                        </w:pPr>
                      </w:p>
                    </w:tc>
                  </w:tr>
                </w:tbl>
                <w:p w:rsidR="00BA0C95" w:rsidRPr="00B8115C" w:rsidRDefault="00BA0C95" w:rsidP="00B8115C">
                  <w:pPr>
                    <w:pStyle w:val="NoSpacing"/>
                    <w:rPr>
                      <w:sz w:val="24"/>
                      <w:szCs w:val="24"/>
                    </w:rPr>
                  </w:pPr>
                </w:p>
              </w:tc>
            </w:tr>
          </w:tbl>
          <w:p w:rsidR="00BA0C95" w:rsidRPr="00B8115C" w:rsidRDefault="00BA0C95" w:rsidP="00B8115C">
            <w:pPr>
              <w:pStyle w:val="NoSpacing"/>
              <w:rPr>
                <w:b/>
                <w:sz w:val="24"/>
                <w:szCs w:val="24"/>
              </w:rPr>
            </w:pPr>
          </w:p>
        </w:tc>
      </w:tr>
    </w:tbl>
    <w:p w:rsidR="007D1D68" w:rsidRDefault="007D1D68" w:rsidP="007D1D68">
      <w:pPr>
        <w:pStyle w:val="NoSpacing"/>
        <w:rPr>
          <w:b/>
          <w:sz w:val="24"/>
          <w:szCs w:val="24"/>
        </w:rPr>
      </w:pPr>
    </w:p>
    <w:p w:rsidR="00B8115C" w:rsidRDefault="00B8115C" w:rsidP="007D1D68">
      <w:pPr>
        <w:pStyle w:val="NoSpacing"/>
        <w:rPr>
          <w:b/>
          <w:sz w:val="24"/>
          <w:szCs w:val="24"/>
        </w:rPr>
      </w:pPr>
    </w:p>
    <w:p w:rsidR="00B8115C" w:rsidRDefault="00B8115C" w:rsidP="007D1D68">
      <w:pPr>
        <w:pStyle w:val="NoSpacing"/>
        <w:rPr>
          <w:b/>
          <w:sz w:val="24"/>
          <w:szCs w:val="24"/>
        </w:rPr>
      </w:pPr>
    </w:p>
    <w:p w:rsidR="00B8115C" w:rsidRPr="007D1D68" w:rsidRDefault="00B8115C" w:rsidP="007D1D68">
      <w:pPr>
        <w:pStyle w:val="NoSpacing"/>
        <w:rPr>
          <w:b/>
          <w:sz w:val="24"/>
          <w:szCs w:val="24"/>
        </w:rPr>
      </w:pPr>
    </w:p>
    <w:sectPr w:rsidR="00B8115C" w:rsidRPr="007D1D68" w:rsidSect="00131F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5C2F"/>
    <w:multiLevelType w:val="hybridMultilevel"/>
    <w:tmpl w:val="8E4A4D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225B23"/>
    <w:multiLevelType w:val="hybridMultilevel"/>
    <w:tmpl w:val="2E98CB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45DE0"/>
    <w:multiLevelType w:val="hybridMultilevel"/>
    <w:tmpl w:val="FC8081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EC5B12"/>
    <w:multiLevelType w:val="hybridMultilevel"/>
    <w:tmpl w:val="9BA0F9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52582"/>
    <w:multiLevelType w:val="hybridMultilevel"/>
    <w:tmpl w:val="9DE84146"/>
    <w:lvl w:ilvl="0" w:tplc="CA2A2992">
      <w:start w:val="1"/>
      <w:numFmt w:val="decimal"/>
      <w:lvlText w:val="%1."/>
      <w:lvlJc w:val="left"/>
      <w:pPr>
        <w:ind w:left="720" w:hanging="360"/>
      </w:pPr>
      <w:rPr>
        <w:b w:val="0"/>
      </w:rPr>
    </w:lvl>
    <w:lvl w:ilvl="1" w:tplc="789A387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E95B15"/>
    <w:multiLevelType w:val="hybridMultilevel"/>
    <w:tmpl w:val="26A27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BA2574"/>
    <w:multiLevelType w:val="hybridMultilevel"/>
    <w:tmpl w:val="4ECEA96A"/>
    <w:lvl w:ilvl="0" w:tplc="0409000F">
      <w:start w:val="1"/>
      <w:numFmt w:val="decimal"/>
      <w:lvlText w:val="%1."/>
      <w:lvlJc w:val="left"/>
      <w:pPr>
        <w:ind w:left="720" w:hanging="360"/>
      </w:pPr>
    </w:lvl>
    <w:lvl w:ilvl="1" w:tplc="EF90F4D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724AFE"/>
    <w:multiLevelType w:val="hybridMultilevel"/>
    <w:tmpl w:val="69FEC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040D4C"/>
    <w:multiLevelType w:val="hybridMultilevel"/>
    <w:tmpl w:val="BA58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360290"/>
    <w:multiLevelType w:val="hybridMultilevel"/>
    <w:tmpl w:val="F6500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744056"/>
    <w:multiLevelType w:val="hybridMultilevel"/>
    <w:tmpl w:val="E44E1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8"/>
  </w:num>
  <w:num w:numId="5">
    <w:abstractNumId w:val="1"/>
  </w:num>
  <w:num w:numId="6">
    <w:abstractNumId w:val="0"/>
  </w:num>
  <w:num w:numId="7">
    <w:abstractNumId w:val="6"/>
  </w:num>
  <w:num w:numId="8">
    <w:abstractNumId w:val="2"/>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A0"/>
    <w:rsid w:val="00065881"/>
    <w:rsid w:val="00131FA0"/>
    <w:rsid w:val="0022566A"/>
    <w:rsid w:val="0025676B"/>
    <w:rsid w:val="00387514"/>
    <w:rsid w:val="003A07AD"/>
    <w:rsid w:val="00584111"/>
    <w:rsid w:val="00663548"/>
    <w:rsid w:val="007D1D68"/>
    <w:rsid w:val="008A754D"/>
    <w:rsid w:val="008E5C45"/>
    <w:rsid w:val="009B1AAC"/>
    <w:rsid w:val="009B73C6"/>
    <w:rsid w:val="00A262D2"/>
    <w:rsid w:val="00AA18D9"/>
    <w:rsid w:val="00B8115C"/>
    <w:rsid w:val="00BA0C95"/>
    <w:rsid w:val="00D11839"/>
    <w:rsid w:val="00D64B71"/>
    <w:rsid w:val="00D83906"/>
    <w:rsid w:val="00E01B3C"/>
    <w:rsid w:val="00EE5A1C"/>
    <w:rsid w:val="00F9493B"/>
    <w:rsid w:val="00FA0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FA0"/>
    <w:pPr>
      <w:spacing w:after="0" w:line="240" w:lineRule="auto"/>
    </w:pPr>
  </w:style>
  <w:style w:type="paragraph" w:customStyle="1" w:styleId="Default">
    <w:name w:val="Default"/>
    <w:rsid w:val="00A262D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262D2"/>
    <w:pPr>
      <w:ind w:left="720"/>
      <w:contextualSpacing/>
    </w:pPr>
  </w:style>
  <w:style w:type="paragraph" w:styleId="BalloonText">
    <w:name w:val="Balloon Text"/>
    <w:basedOn w:val="Normal"/>
    <w:link w:val="BalloonTextChar"/>
    <w:uiPriority w:val="99"/>
    <w:semiHidden/>
    <w:unhideWhenUsed/>
    <w:rsid w:val="009B1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AC"/>
    <w:rPr>
      <w:rFonts w:ascii="Tahoma" w:hAnsi="Tahoma" w:cs="Tahoma"/>
      <w:sz w:val="16"/>
      <w:szCs w:val="16"/>
    </w:rPr>
  </w:style>
  <w:style w:type="table" w:styleId="TableGrid">
    <w:name w:val="Table Grid"/>
    <w:basedOn w:val="TableNormal"/>
    <w:uiPriority w:val="59"/>
    <w:rsid w:val="008E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1FA0"/>
    <w:pPr>
      <w:spacing w:after="0" w:line="240" w:lineRule="auto"/>
    </w:pPr>
  </w:style>
  <w:style w:type="paragraph" w:customStyle="1" w:styleId="Default">
    <w:name w:val="Default"/>
    <w:rsid w:val="00A262D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262D2"/>
    <w:pPr>
      <w:ind w:left="720"/>
      <w:contextualSpacing/>
    </w:pPr>
  </w:style>
  <w:style w:type="paragraph" w:styleId="BalloonText">
    <w:name w:val="Balloon Text"/>
    <w:basedOn w:val="Normal"/>
    <w:link w:val="BalloonTextChar"/>
    <w:uiPriority w:val="99"/>
    <w:semiHidden/>
    <w:unhideWhenUsed/>
    <w:rsid w:val="009B1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AC"/>
    <w:rPr>
      <w:rFonts w:ascii="Tahoma" w:hAnsi="Tahoma" w:cs="Tahoma"/>
      <w:sz w:val="16"/>
      <w:szCs w:val="16"/>
    </w:rPr>
  </w:style>
  <w:style w:type="table" w:styleId="TableGrid">
    <w:name w:val="Table Grid"/>
    <w:basedOn w:val="TableNormal"/>
    <w:uiPriority w:val="59"/>
    <w:rsid w:val="008E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311DA-FBBD-485F-9E42-4715600E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Wiscombe</dc:creator>
  <cp:lastModifiedBy>Melinda Bonds</cp:lastModifiedBy>
  <cp:revision>2</cp:revision>
  <dcterms:created xsi:type="dcterms:W3CDTF">2017-08-23T17:25:00Z</dcterms:created>
  <dcterms:modified xsi:type="dcterms:W3CDTF">2017-08-23T17:25:00Z</dcterms:modified>
</cp:coreProperties>
</file>